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Section"/>
        <w:pBdr/>
        <w:spacing/>
        <w:rPr/>
      </w:pPr>
      <w:r>
        <w:rPr/>
        <w:t xml:space="preserve">Sec. 82-141.</w:t>
      </w:r>
      <w:r>
        <w:rPr/>
        <w:t xml:space="preserve"> </w:t>
      </w:r>
      <w:r>
        <w:rPr/>
        <w:t xml:space="preserve">Purpose.</w:t>
      </w:r>
    </w:p>
    <w:p>
      <w:pPr>
        <w:pStyle w:val="Paragraph1"/>
        <w:pBdr/>
        <w:spacing/>
        <w:rPr/>
      </w:pPr>
      <w:r>
        <w:rPr>
          <w:rStyle w:val="Paragraph1"/>
        </w:rPr>
        <w:t xml:space="preserve">The existence of real property which is maintained in a blighted condition increases the burden of the state and local government by increasing the need for government services, including but not limited to social services, public safety services, and code enforcement services. Rehabilitation of blighted property decreases this need for such government services. </w:t>
      </w:r>
    </w:p>
    <w:p>
      <w:pPr>
        <w:pStyle w:val="Paragraph1"/>
        <w:pBdr/>
        <w:spacing/>
        <w:rPr/>
      </w:pPr>
      <w:r>
        <w:rPr>
          <w:rStyle w:val="Paragraph1"/>
        </w:rPr>
        <w:t xml:space="preserve">In furtherance of its objective to eradicate conditions of slum and blight within the city, this board of commissioners, in exercise of the powers granted to municipal corporations at Chapter 61, Urban Redevelopment, of Title 36 of the Official Code of Georgia Annotated, has designated those areas of the city where conditions of slum and blight are found or are likely to spread. </w:t>
      </w:r>
    </w:p>
    <w:p>
      <w:pPr>
        <w:pStyle w:val="Paragraph1"/>
        <w:pBdr/>
        <w:spacing/>
        <w:rPr/>
      </w:pPr>
      <w:r>
        <w:rPr>
          <w:rStyle w:val="Paragraph1"/>
        </w:rPr>
        <w:t xml:space="preserve">In recognition of the need for enhanced governmental services and in order to encourage private property owners to maintain their real property and the buildings, structures and improvement thereon in good condition and repair, and as an incentive to encourage community redevelopment, a community redevelopment tax incentive program is hereby established as authorized by Article IX, Section II, Paragraph VII(d) of the 1983 Constitution of the State of Georgia. </w:t>
      </w:r>
    </w:p>
    <w:p>
      <w:pPr>
        <w:pStyle w:val="HistoryNote"/>
        <w:pBdr/>
        <w:spacing/>
        <w:rPr/>
      </w:pPr>
      <w:r>
        <w:rPr>
          <w:rStyle w:val="HistoryNote"/>
        </w:rPr>
        <w:t xml:space="preserve">(Ord. No. 09-05, § 1, 5-12-2009)</w:t>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82-142.</w:t>
      </w:r>
      <w:r>
        <w:rPr/>
        <w:t xml:space="preserve"> </w:t>
      </w:r>
      <w:r>
        <w:rPr/>
        <w:t xml:space="preserve">Definitions.</w:t>
      </w:r>
    </w:p>
    <w:p>
      <w:pPr>
        <w:pBdr/>
        <w:spacing/>
        <w:rPr/>
      </w:pPr>
      <w:r>
        <w:rPr>
          <w:i/>
        </w:rPr>
        <w:t xml:space="preserve">Blighted property, blighted,</w:t>
      </w:r>
      <w:r>
        <w:rPr>
          <w:rStyle w:val="Paragraph1"/>
        </w:rPr>
        <w:t xml:space="preserve"> or </w:t>
      </w:r>
      <w:r>
        <w:rPr>
          <w:i/>
        </w:rPr>
        <w:t xml:space="preserve">blight</w:t>
      </w:r>
      <w:r>
        <w:rPr>
          <w:rStyle w:val="Paragraph1"/>
        </w:rPr>
        <w:t xml:space="preserve"> means any urbanized or developed property which: </w:t>
      </w:r>
    </w:p>
    <w:p>
      <w:pPr>
        <w:pStyle w:val="List2"/>
        <w:pBdr/>
        <w:spacing/>
        <w:rPr/>
      </w:pPr>
      <w:r>
        <w:rPr/>
        <w:t xml:space="preserve">(1)</w:t>
      </w:r>
      <w:r>
        <w:rPr/>
        <w:tab/>
        <w:t xml:space="preserve"/>
      </w:r>
      <w:r>
        <w:rPr/>
        <w:t xml:space="preserve">Presents two or more of the following conditions: </w:t>
      </w:r>
    </w:p>
    <w:p>
      <w:pPr>
        <w:pStyle w:val="List3"/>
        <w:pBdr/>
        <w:spacing/>
        <w:rPr/>
      </w:pPr>
      <w:r>
        <w:rPr/>
        <w:t xml:space="preserve">a.</w:t>
      </w:r>
      <w:r>
        <w:rPr/>
        <w:tab/>
        <w:t xml:space="preserve"/>
      </w:r>
      <w:r>
        <w:rPr/>
        <w:t xml:space="preserve">Uninhabitable, unsafe, or abandoned structure; </w:t>
      </w:r>
    </w:p>
    <w:p>
      <w:pPr>
        <w:pStyle w:val="List3"/>
        <w:pBdr/>
        <w:spacing/>
        <w:rPr/>
      </w:pPr>
      <w:r>
        <w:rPr/>
        <w:t xml:space="preserve">b.</w:t>
      </w:r>
      <w:r>
        <w:rPr/>
        <w:tab/>
        <w:t xml:space="preserve"/>
      </w:r>
      <w:r>
        <w:rPr/>
        <w:t xml:space="preserve">Inadequate provisions for ventilation, light, air, or sanitation; </w:t>
      </w:r>
    </w:p>
    <w:p>
      <w:pPr>
        <w:pStyle w:val="List3"/>
        <w:pBdr/>
        <w:spacing/>
        <w:rPr/>
      </w:pPr>
      <w:r>
        <w:rPr/>
        <w:t xml:space="preserve">c.</w:t>
      </w:r>
      <w:r>
        <w:rPr/>
        <w:tab/>
        <w:t xml:space="preserve"/>
      </w:r>
      <w:r>
        <w:rPr/>
        <w:t xml:space="preserve">An imminent harm to life or other property caused by fire, flood, hurricane, tornado, earthquake, storm, or other natural catastrophe respecting which the governor has declared a state of emergency under the state law or has certified the need for disaster assistance under federal law; provided, however, this division shall not apply to property unless the relevant public agency has given notice in writing to the property owner regarding specific harm caused by the property and the owner has failed to take reasonable measures to remedy the harm; </w:t>
      </w:r>
    </w:p>
    <w:p>
      <w:pPr>
        <w:pStyle w:val="List3"/>
        <w:pBdr/>
        <w:spacing/>
        <w:rPr/>
      </w:pPr>
      <w:r>
        <w:rPr/>
        <w:t xml:space="preserve">d.</w:t>
      </w:r>
      <w:r>
        <w:rPr/>
        <w:tab/>
        <w:t xml:space="preserve"/>
      </w:r>
      <w:r>
        <w:rPr/>
        <w:t xml:space="preserve">A site identified by the federal Environmental Protection Agency as a superfund site pursuant to 42 U.S.C. Section 9601, et seq., or having environmental contamination to an extent that requires remedial investigation or a feasibility study; </w:t>
      </w:r>
    </w:p>
    <w:p>
      <w:pPr>
        <w:pStyle w:val="List3"/>
        <w:pBdr/>
        <w:spacing/>
        <w:rPr/>
      </w:pPr>
      <w:r>
        <w:rPr/>
        <w:t xml:space="preserve">e.</w:t>
      </w:r>
      <w:r>
        <w:rPr/>
        <w:tab/>
        <w:t xml:space="preserve"/>
      </w:r>
      <w:r>
        <w:rPr/>
        <w:t xml:space="preserve">Repeated illegal activity on the individual property of which the property owner knew or should have known; or </w:t>
      </w:r>
    </w:p>
    <w:p>
      <w:pPr>
        <w:pStyle w:val="List3"/>
        <w:pBdr/>
        <w:spacing/>
        <w:rPr/>
      </w:pPr>
      <w:r>
        <w:rPr/>
        <w:t xml:space="preserve">f.</w:t>
      </w:r>
      <w:r>
        <w:rPr/>
        <w:tab/>
        <w:t xml:space="preserve"/>
      </w:r>
      <w:r>
        <w:rPr/>
        <w:t xml:space="preserve">The maintenance of the property is below state, county, or municipal codes for at least one year after written notice of the code violation to its owner; and </w:t>
      </w:r>
    </w:p>
    <w:p>
      <w:pPr>
        <w:pStyle w:val="List2"/>
        <w:pBdr/>
        <w:spacing/>
        <w:rPr/>
      </w:pPr>
      <w:r>
        <w:rPr/>
        <w:t xml:space="preserve">(2)</w:t>
      </w:r>
      <w:r>
        <w:rPr/>
        <w:tab/>
        <w:t xml:space="preserve"/>
      </w:r>
      <w:r>
        <w:rPr/>
        <w:t xml:space="preserve">Is conducive to ill health, transmission of disease, infant mortality, or crime in the immediate proximity of the property. </w:t>
      </w:r>
    </w:p>
    <w:p>
      <w:pPr>
        <w:pStyle w:val="Block2"/>
        <w:pBdr/>
        <w:spacing/>
        <w:rPr/>
      </w:pPr>
      <w:r>
        <w:rPr>
          <w:rStyle w:val="Block2"/>
        </w:rPr>
        <w:t xml:space="preserve">Property shall not be deemed blighted solely because of esthetic conditions. </w:t>
      </w:r>
    </w:p>
    <w:p>
      <w:pPr>
        <w:pStyle w:val="Paragraph1"/>
        <w:pBdr/>
        <w:spacing/>
        <w:rPr/>
      </w:pPr>
      <w:r>
        <w:rPr>
          <w:i/>
        </w:rPr>
        <w:t xml:space="preserve">Building inspector</w:t>
      </w:r>
      <w:r>
        <w:rPr>
          <w:rStyle w:val="Paragraph1"/>
        </w:rPr>
        <w:t xml:space="preserve"> means a certified inspector possessing the requisite qualifications to determine minimal code compliance. </w:t>
      </w:r>
    </w:p>
    <w:p>
      <w:pPr>
        <w:pStyle w:val="Paragraph1"/>
        <w:pBdr/>
        <w:spacing/>
        <w:rPr/>
      </w:pPr>
      <w:r>
        <w:rPr>
          <w:i/>
        </w:rPr>
        <w:t xml:space="preserve">Community redevelopment</w:t>
      </w:r>
      <w:r>
        <w:rPr>
          <w:rStyle w:val="Paragraph1"/>
        </w:rPr>
        <w:t xml:space="preserve"> means any activity, project, or service necessary or incidental to achieving the redevelopment or revitalization of a redevelopment area or portion thereof designated for redevelopment through an urban redevelopment plan or thorough local ordinances relating to the repair, closing, and demolition of buildings and structures unfit for human habitation. </w:t>
      </w:r>
    </w:p>
    <w:p>
      <w:pPr>
        <w:pStyle w:val="Paragraph1"/>
        <w:pBdr/>
        <w:spacing/>
        <w:rPr/>
      </w:pPr>
      <w:r>
        <w:rPr>
          <w:i/>
        </w:rPr>
        <w:t xml:space="preserve">Governing authority</w:t>
      </w:r>
      <w:r>
        <w:rPr>
          <w:rStyle w:val="Paragraph1"/>
        </w:rPr>
        <w:t xml:space="preserve"> means the board of commissioners of the City of Griffin, a Georgia municipal corporation. </w:t>
      </w:r>
    </w:p>
    <w:p>
      <w:pPr>
        <w:pStyle w:val="Paragraph1"/>
        <w:pBdr/>
        <w:spacing/>
        <w:rPr/>
      </w:pPr>
      <w:r>
        <w:rPr>
          <w:i/>
        </w:rPr>
        <w:t xml:space="preserve">Millage</w:t>
      </w:r>
      <w:r>
        <w:rPr>
          <w:rStyle w:val="Paragraph1"/>
        </w:rPr>
        <w:t xml:space="preserve"> or </w:t>
      </w:r>
      <w:r>
        <w:rPr>
          <w:i/>
        </w:rPr>
        <w:t xml:space="preserve">millage rate</w:t>
      </w:r>
      <w:r>
        <w:rPr>
          <w:rStyle w:val="Paragraph1"/>
        </w:rPr>
        <w:t xml:space="preserve"> means the levy, in mills, which is established by the governing authority for purposes of financing, in whole or in part, the levying jurisdiction's general fund expenses for the fiscal year. </w:t>
      </w:r>
    </w:p>
    <w:p>
      <w:pPr>
        <w:pStyle w:val="Paragraph1"/>
        <w:pBdr/>
        <w:spacing/>
        <w:rPr/>
      </w:pPr>
      <w:r>
        <w:rPr>
          <w:i/>
        </w:rPr>
        <w:t xml:space="preserve">Person</w:t>
      </w:r>
      <w:r>
        <w:rPr>
          <w:rStyle w:val="Paragraph1"/>
        </w:rPr>
        <w:t xml:space="preserve"> means such individual(s), partnership, corporations, business entities and associations which return real property for ad valorem taxation or who are chargeable by law for the taxes on the property. </w:t>
      </w:r>
    </w:p>
    <w:p>
      <w:pPr>
        <w:pStyle w:val="Paragraph1"/>
        <w:pBdr/>
        <w:spacing/>
        <w:rPr/>
      </w:pPr>
      <w:r>
        <w:rPr>
          <w:i/>
        </w:rPr>
        <w:t xml:space="preserve">Public officer</w:t>
      </w:r>
      <w:r>
        <w:rPr>
          <w:rStyle w:val="Paragraph1"/>
        </w:rPr>
        <w:t xml:space="preserve"> means the city manager or such officer or employee of the city as designated by the city manager to perform the duties and responsibilities hereafter set forth in this article. </w:t>
      </w:r>
    </w:p>
    <w:p>
      <w:pPr>
        <w:pStyle w:val="HistoryNote"/>
        <w:pBdr/>
        <w:spacing/>
        <w:rPr/>
      </w:pPr>
      <w:r>
        <w:rPr>
          <w:rStyle w:val="HistoryNote"/>
        </w:rPr>
        <w:t xml:space="preserve">(Ord. No. 09-05, § 1, 5-12-2009)</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82-143.</w:t>
      </w:r>
      <w:r>
        <w:rPr/>
        <w:t xml:space="preserve"> </w:t>
      </w:r>
      <w:r>
        <w:rPr/>
        <w:t xml:space="preserve">Levy of increase ad valorem tax on blighted real property.</w:t>
      </w:r>
    </w:p>
    <w:p>
      <w:pPr>
        <w:pStyle w:val="Paragraph1"/>
        <w:pBdr/>
        <w:spacing/>
        <w:rPr/>
      </w:pPr>
      <w:r>
        <w:rPr>
          <w:rStyle w:val="Paragraph1"/>
        </w:rPr>
        <w:t xml:space="preserve">There is hereby levied on all real property within the city which has been officially identified as maintained in a blighted condition an increased ad valorem tax by applying a factor of seven (7.0) to the millage rate applied to the property, so that such property shall be taxed at a higher millage rate generally applied in the municipality, or otherwise provided by general law; provided, however, real property on which there is situated a dwelling house which is being occupied as the primary residence of one or more persons shall not be subject to official identification as maintained in a blighted condition and shall not be subject to increased taxation. </w:t>
      </w:r>
    </w:p>
    <w:p>
      <w:pPr>
        <w:pStyle w:val="Paragraph1"/>
        <w:pBdr/>
        <w:spacing/>
        <w:rPr/>
      </w:pPr>
      <w:r>
        <w:rPr>
          <w:rStyle w:val="Paragraph1"/>
        </w:rPr>
        <w:t xml:space="preserve">Such increased ad valorem tax shall be applied and reflected in the first tax bill rendered following official designation of a real property as blighted. </w:t>
      </w:r>
    </w:p>
    <w:p>
      <w:pPr>
        <w:pStyle w:val="Paragraph1"/>
        <w:pBdr/>
        <w:spacing/>
        <w:rPr/>
      </w:pPr>
      <w:r>
        <w:rPr>
          <w:rStyle w:val="Paragraph1"/>
        </w:rPr>
        <w:t xml:space="preserve">Revenues arising from the increased rate of ad valorem taxation shall, upon receipt, be segregated by the city manager and used only for community redevelopment purposes, as identified in an approved urban redevelopment program, including defraying the cost of the city's program to close, repair, or demolish unfit building and structures. </w:t>
      </w:r>
    </w:p>
    <w:p>
      <w:pPr>
        <w:pStyle w:val="HistoryNote"/>
        <w:pBdr/>
        <w:spacing/>
        <w:rPr/>
      </w:pPr>
      <w:r>
        <w:rPr>
          <w:rStyle w:val="HistoryNote"/>
        </w:rPr>
        <w:t xml:space="preserve">(Ord. No. 09-05, § 1, 5-12-2009; Ord. No. 11-06, § 1, 7-12-2011)</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82-144.</w:t>
      </w:r>
      <w:r>
        <w:rPr/>
        <w:t xml:space="preserve"> </w:t>
      </w:r>
      <w:r>
        <w:rPr/>
        <w:t xml:space="preserve">Official identification of property maintained in blighted condition.</w:t>
      </w:r>
    </w:p>
    <w:p>
      <w:pPr>
        <w:pStyle w:val="List1"/>
        <w:pBdr/>
        <w:spacing/>
        <w:rPr/>
      </w:pPr>
      <w:r>
        <w:rPr/>
        <w:t xml:space="preserve">(a)</w:t>
      </w:r>
      <w:r>
        <w:rPr/>
        <w:tab/>
        <w:t xml:space="preserve"/>
      </w:r>
      <w:r>
        <w:rPr/>
        <w:t xml:space="preserve">In order for a parcel of real property to be officially designated as maintained in a blighted condition and subject to increased taxation, the following steps must be completed: </w:t>
      </w:r>
    </w:p>
    <w:p>
      <w:pPr>
        <w:pStyle w:val="List2"/>
        <w:pBdr/>
        <w:spacing/>
        <w:rPr/>
      </w:pPr>
      <w:r>
        <w:rPr/>
        <w:t xml:space="preserve">(1)</w:t>
      </w:r>
      <w:r>
        <w:rPr/>
        <w:tab/>
        <w:t xml:space="preserve"/>
      </w:r>
      <w:r>
        <w:rPr/>
        <w:t xml:space="preserve">An inspection must be performed on the parcel of property. In order for an inspection to be performed, </w:t>
      </w:r>
    </w:p>
    <w:p>
      <w:pPr>
        <w:pStyle w:val="List3"/>
        <w:pBdr/>
        <w:spacing/>
        <w:rPr/>
      </w:pPr>
      <w:r>
        <w:rPr/>
        <w:t xml:space="preserve">a.</w:t>
      </w:r>
      <w:r>
        <w:rPr/>
        <w:tab/>
        <w:t xml:space="preserve"/>
      </w:r>
      <w:r>
        <w:rPr/>
        <w:t xml:space="preserve">A request may be made by the public officer or by at least five residents of the city for inspection of a parcel of property, said inspection to be based on the criteria as delineated in ordinance, or </w:t>
      </w:r>
    </w:p>
    <w:p>
      <w:pPr>
        <w:pStyle w:val="List3"/>
        <w:pBdr/>
        <w:spacing/>
        <w:rPr/>
      </w:pPr>
      <w:r>
        <w:rPr/>
        <w:t xml:space="preserve">b.</w:t>
      </w:r>
      <w:r>
        <w:rPr/>
        <w:tab/>
        <w:t xml:space="preserve"/>
      </w:r>
      <w:r>
        <w:rPr/>
        <w:t xml:space="preserve">The public officer may cause a survey of existing housing conditions to be performed, or may refer to any such survey conducted or finalized within the previous five years, to locate or identify any parcels which may be in a blighted condition and for which a full inspection should be conducted to determine if that parcel of property meets the criteria set out in this article for designation as being maintained in a blighted condition. </w:t>
      </w:r>
    </w:p>
    <w:p>
      <w:pPr>
        <w:pStyle w:val="List2"/>
        <w:pBdr/>
        <w:spacing/>
        <w:rPr/>
      </w:pPr>
      <w:r>
        <w:rPr/>
        <w:t xml:space="preserve">(2)</w:t>
      </w:r>
      <w:r>
        <w:rPr/>
        <w:tab/>
        <w:t xml:space="preserve"/>
      </w:r>
      <w:r>
        <w:rPr/>
        <w:t xml:space="preserve">A written inspection report of the findings for any parcel of property inspected pursuant to subsection (1) above shall be prepared and submitted to the public officer. Where feasible, photographs of the conditions found to exist on the property on the date of inspection shall be made and supplement the inspection report. Where compliance with minimum construction, housing, occupancy, fire and life safety codes in effect within the city are in question, the inspection shall be conducted by a certified inspector possessing the requisite qualifications to determine minimal code compliance. </w:t>
      </w:r>
    </w:p>
    <w:p>
      <w:pPr>
        <w:pStyle w:val="List2"/>
        <w:pBdr/>
        <w:spacing/>
        <w:rPr/>
      </w:pPr>
      <w:r>
        <w:rPr/>
        <w:t xml:space="preserve">(3)</w:t>
      </w:r>
      <w:r>
        <w:rPr/>
        <w:tab/>
        <w:t xml:space="preserve"/>
      </w:r>
      <w:r>
        <w:rPr/>
        <w:t xml:space="preserve">Following completion of the inspection report, the public officer shall make a determination, in writing, that a property is maintained in a blighted condition, as defined by this article, and is subject to increased taxation. </w:t>
      </w:r>
    </w:p>
    <w:p>
      <w:pPr>
        <w:pStyle w:val="List2"/>
        <w:pBdr/>
        <w:spacing/>
        <w:rPr/>
      </w:pPr>
      <w:r>
        <w:rPr/>
        <w:t xml:space="preserve">(4)</w:t>
      </w:r>
      <w:r>
        <w:rPr/>
        <w:tab/>
        <w:t xml:space="preserve"/>
      </w:r>
      <w:r>
        <w:rPr/>
        <w:t xml:space="preserve">The public officer shall cause a written notice of his determination that the real property at issue is being maintained in a blighted condition to be served upon the person(s) shown on the most recent tax digest of Spalding County as responsible for payment of ad valorem taxes assessed thereon; provided, however, where through the existence of reasonable diligence it becomes known to the public officer that real property has been sold or conveyed since publication of the most recent tax digest, written notice shall be given to the person(s) known or reasonably believed to then own the property or be chargeable with the payment of ad valorem taxes thereon, at the best address available. Service in the manner set forth at O.C.G.A. § 41-2-12 shall constitute sufficient notice to the property's owner or person chargeable with the payment of ad valorem taxes for purpose of this section, except that posting of the notice on the property will not be required. </w:t>
      </w:r>
    </w:p>
    <w:p>
      <w:pPr>
        <w:pStyle w:val="List1"/>
        <w:pBdr/>
        <w:spacing/>
        <w:rPr/>
      </w:pPr>
      <w:r>
        <w:rPr/>
        <w:t xml:space="preserve">(b)</w:t>
      </w:r>
      <w:r>
        <w:rPr/>
        <w:tab/>
        <w:t xml:space="preserve"/>
      </w:r>
      <w:r>
        <w:rPr/>
        <w:t xml:space="preserve">The written notice given to the person(s) chargeable with the payment of ad valorem taxes shall notify such person of the public officer's determination the real property is being maintained in a blighted condition and shall advise such person of the hours and location at which the person may inspect and copy the public officer's determination and any supporting documentation. Persons notified that real property of which the person(s) is chargeable with the payment of ad valorem taxes shall have 30 days from the receipt of notice in which to request a hearing before the city's municipal court. Written request for hearing shall be filed with the public officer and shall be date stamped upon receipt. Upon receipt of a request for hearing, the public officer shall notify the municipal court and the building inspector or person who performed the inspection and prepared the inspection report. </w:t>
      </w:r>
    </w:p>
    <w:p>
      <w:pPr>
        <w:pStyle w:val="List1"/>
        <w:pBdr/>
        <w:spacing/>
        <w:rPr/>
      </w:pPr>
      <w:r>
        <w:rPr/>
        <w:t xml:space="preserve">(c)</w:t>
      </w:r>
      <w:r>
        <w:rPr/>
        <w:tab/>
        <w:t xml:space="preserve"/>
      </w:r>
      <w:r>
        <w:rPr/>
        <w:t xml:space="preserve">Within 30 days of the receipt of a request for hearing, the municipal court clerk shall set a date, time and location for the hearing and shall give at least ten business days notice to the person(s) requesting the hearing, the public officer and the building inspector or person who performed the inspection and prepared the inspection report. Notice of scheduled hearings shall be published as a legal advertisement in the Griffin Daily News, or other designated legal organ in Spalding County, at least five days prior to the hearing. Hearings may be continued by the municipal court judge upon request of any party, for good cause. </w:t>
      </w:r>
    </w:p>
    <w:p>
      <w:pPr>
        <w:pStyle w:val="List1"/>
        <w:pBdr/>
        <w:spacing/>
        <w:rPr/>
      </w:pPr>
      <w:r>
        <w:rPr/>
        <w:t xml:space="preserve">(d)</w:t>
      </w:r>
      <w:r>
        <w:rPr/>
        <w:tab/>
        <w:t xml:space="preserve"/>
      </w:r>
      <w:r>
        <w:rPr/>
        <w:t xml:space="preserve">At the hearing, the public officer shall have the burden of demonstrating by a preponderance of the evidence that the subject property is maintained in a blighted condition, as defined by this article. The municipal court judge shall cause a record of the evidence submitted at the hearing to be maintained. Upon hearing from the public officer and/or their witnesses and the person(s) requesting the hearing and/or their witnesses, the judge of municipal court shall make a determination either affirming or reversing the determination of the public officer. The determination shall be in writing and copies thereof shall be served on the parties by certified mail or statutory overnight delivery. The determination by the court shall be deemed final. A copy of such determination shall also be served upon the Tax Commissioner of Spalding County, who shall include the increased tax on the next regular tax bill rendered on behalf of the city. </w:t>
      </w:r>
    </w:p>
    <w:p>
      <w:pPr>
        <w:pStyle w:val="List1"/>
        <w:pBdr/>
        <w:spacing/>
        <w:rPr/>
      </w:pPr>
      <w:r>
        <w:rPr/>
        <w:t xml:space="preserve">(e)</w:t>
      </w:r>
      <w:r>
        <w:rPr/>
        <w:tab/>
        <w:t xml:space="preserve"/>
      </w:r>
      <w:r>
        <w:rPr/>
        <w:t xml:space="preserve">Persons aggrieved by the determination of the court affirming the determination of the public officer may petition the Superior Court of Spalding County for a writ of certiorari within 30 days of issuance of the court's written determination. </w:t>
      </w:r>
    </w:p>
    <w:p>
      <w:pPr>
        <w:pStyle w:val="HistoryNote"/>
        <w:pBdr/>
        <w:spacing/>
        <w:rPr/>
      </w:pPr>
      <w:r>
        <w:rPr>
          <w:rStyle w:val="HistoryNote"/>
        </w:rPr>
        <w:t xml:space="preserve">(Ord. No. 09-05, § 1, 5-12-2009)</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82-145.</w:t>
      </w:r>
      <w:r>
        <w:rPr/>
        <w:t xml:space="preserve"> </w:t>
      </w:r>
      <w:r>
        <w:rPr/>
        <w:t xml:space="preserve">Remediation or redevelopment to remove designation of blighted condition.</w:t>
      </w:r>
    </w:p>
    <w:p>
      <w:pPr>
        <w:pStyle w:val="List1"/>
        <w:pBdr/>
        <w:spacing/>
        <w:rPr/>
      </w:pPr>
      <w:r>
        <w:rPr/>
        <w:t xml:space="preserve">(a)</w:t>
      </w:r>
      <w:r>
        <w:rPr/>
        <w:tab/>
        <w:t xml:space="preserve"/>
      </w:r>
      <w:r>
        <w:rPr/>
        <w:t xml:space="preserve">A property owner or person(s) who is chargeable with the payment of ad valorem taxes on real property which has been officially designated pursuant to this article as property maintained in a blighted condition may petition the public officer to lift the designation, upon proof of compliance with the following: </w:t>
      </w:r>
    </w:p>
    <w:p>
      <w:pPr>
        <w:pStyle w:val="List2"/>
        <w:pBdr/>
        <w:spacing/>
        <w:rPr/>
      </w:pPr>
      <w:r>
        <w:rPr/>
        <w:t xml:space="preserve">(1)</w:t>
      </w:r>
      <w:r>
        <w:rPr/>
        <w:tab/>
        <w:t xml:space="preserve"/>
      </w:r>
      <w:r>
        <w:rPr/>
        <w:t xml:space="preserve">Completion of work required under a plan of remedial action or redevelopment approved by the city's planning and development director which addresses the conditions of blight found to exist on or within the property, including compliance with all applicable minimum codes; or </w:t>
      </w:r>
    </w:p>
    <w:p>
      <w:pPr>
        <w:pStyle w:val="List2"/>
        <w:pBdr/>
        <w:spacing/>
        <w:rPr/>
      </w:pPr>
      <w:r>
        <w:rPr/>
        <w:t xml:space="preserve">(2)</w:t>
      </w:r>
      <w:r>
        <w:rPr/>
        <w:tab/>
        <w:t xml:space="preserve"/>
      </w:r>
      <w:r>
        <w:rPr/>
        <w:t xml:space="preserve">Completion of work required under a court order entered in a proceeding brought pursuant to Article IV, Unfit Buildings and Structures, of </w:t>
      </w:r>
      <w:r>
        <w:rPr/>
        <w:t xml:space="preserve">Chapter 22</w:t>
      </w:r>
      <w:r>
        <w:rPr/>
        <w:t xml:space="preserve"> of the Code of Griffin, Georgia. </w:t>
      </w:r>
    </w:p>
    <w:p>
      <w:pPr>
        <w:pStyle w:val="List1"/>
        <w:pBdr/>
        <w:spacing/>
        <w:rPr/>
      </w:pPr>
      <w:r>
        <w:rPr/>
        <w:t xml:space="preserve">(b)</w:t>
      </w:r>
      <w:r>
        <w:rPr/>
        <w:tab/>
        <w:t xml:space="preserve"/>
      </w:r>
      <w:r>
        <w:rPr/>
        <w:t xml:space="preserve">Before action on a petition to lift the designation, the public officer shall cause the property to be thoroughly inspected by a building inspector who, by written inspection report, shall certify that all requisite work has been performed to applicable code in a workmanlike manner, in accordance with the specifications of the plan of remedial action or redevelopment, or applicable court order. Upon finding required work to be satisfactorily performed, the public officer shall issue a written determination that the real property is no longer maintained in a blighted condition. Copies of this determination shall be served upon the person(s) chargeable with the payment of ad valorem taxes, and upon the Tax Commissioner of Spalding County. </w:t>
      </w:r>
    </w:p>
    <w:p>
      <w:pPr>
        <w:pStyle w:val="List1"/>
        <w:pBdr/>
        <w:spacing/>
        <w:rPr/>
      </w:pPr>
      <w:r>
        <w:rPr/>
        <w:t xml:space="preserve">(c)</w:t>
      </w:r>
      <w:r>
        <w:rPr/>
        <w:tab/>
        <w:t xml:space="preserve"/>
      </w:r>
      <w:r>
        <w:rPr/>
        <w:t xml:space="preserve">All plans for remedial action or redevelopment shall be in writing, signed by the person(s) chargeable with the payment of ad valorem taxes on the real property and the director of the city's planning and development department, and contain the following: </w:t>
      </w:r>
    </w:p>
    <w:p>
      <w:pPr>
        <w:pStyle w:val="List2"/>
        <w:pBdr/>
        <w:spacing/>
        <w:rPr/>
      </w:pPr>
      <w:r>
        <w:rPr/>
        <w:t xml:space="preserve">(1)</w:t>
      </w:r>
      <w:r>
        <w:rPr/>
        <w:tab/>
        <w:t xml:space="preserve"/>
      </w:r>
      <w:r>
        <w:rPr/>
        <w:t xml:space="preserve">The plan shall be consistent with the city's comprehensive plan and all laws and ordinances governing the subject property, and shall conform to any urban redevelopment plan adopted for the area within which the property lies; </w:t>
      </w:r>
    </w:p>
    <w:p>
      <w:pPr>
        <w:pStyle w:val="List2"/>
        <w:pBdr/>
        <w:spacing/>
        <w:rPr/>
      </w:pPr>
      <w:r>
        <w:rPr/>
        <w:t xml:space="preserve">(2)</w:t>
      </w:r>
      <w:r>
        <w:rPr/>
        <w:tab/>
        <w:t xml:space="preserve"/>
      </w:r>
      <w:r>
        <w:rPr/>
        <w:t xml:space="preserve">The plan shall set forth in reasonable detail the requirements for repair, closure, demolition, or restoration of existing structures, in accordance with minimal statewide codes; where structures are demolished, the plan shall include provisions for debris removal, stabilization and landscaping of the property; </w:t>
      </w:r>
    </w:p>
    <w:p>
      <w:pPr>
        <w:pStyle w:val="List2"/>
        <w:pBdr/>
        <w:spacing/>
        <w:rPr/>
      </w:pPr>
      <w:r>
        <w:rPr/>
        <w:t xml:space="preserve">(3)</w:t>
      </w:r>
      <w:r>
        <w:rPr/>
        <w:tab/>
        <w:t xml:space="preserve"/>
      </w:r>
      <w:r>
        <w:rPr/>
        <w:t xml:space="preserve">On parcels of five acres or greater, the plan shall address the relationship to local objectives respecting land uses, improved traffic, public transportation, public utilities, recreational and community facilities, and other public improvements; </w:t>
      </w:r>
    </w:p>
    <w:p>
      <w:pPr>
        <w:pStyle w:val="List2"/>
        <w:pBdr/>
        <w:spacing/>
        <w:rPr/>
      </w:pPr>
      <w:r>
        <w:rPr/>
        <w:t xml:space="preserve">(4)</w:t>
      </w:r>
      <w:r>
        <w:rPr/>
        <w:tab/>
        <w:t xml:space="preserve"/>
      </w:r>
      <w:r>
        <w:rPr/>
        <w:t xml:space="preserve">The plan shall contain verifiable funding sources which will be used to complete its requirements and show the feasibility thereof; </w:t>
      </w:r>
    </w:p>
    <w:p>
      <w:pPr>
        <w:pStyle w:val="List2"/>
        <w:pBdr/>
        <w:spacing/>
        <w:rPr/>
      </w:pPr>
      <w:r>
        <w:rPr/>
        <w:t xml:space="preserve">(5)</w:t>
      </w:r>
      <w:r>
        <w:rPr/>
        <w:tab/>
        <w:t xml:space="preserve"/>
      </w:r>
      <w:r>
        <w:rPr/>
        <w:t xml:space="preserve">The plan shall contain a timetable for completion of required work; and </w:t>
      </w:r>
    </w:p>
    <w:p>
      <w:pPr>
        <w:pStyle w:val="List2"/>
        <w:pBdr/>
        <w:spacing/>
        <w:rPr/>
      </w:pPr>
      <w:r>
        <w:rPr/>
        <w:t xml:space="preserve">(6)</w:t>
      </w:r>
      <w:r>
        <w:rPr/>
        <w:tab/>
        <w:t xml:space="preserve"/>
      </w:r>
      <w:r>
        <w:rPr/>
        <w:t xml:space="preserve">Any outstanding ad valorem taxes (state, school, county and city, including the increased tax pursuant to this article) and governmental liens due and payable on the property must be satisfied in full. </w:t>
      </w:r>
    </w:p>
    <w:p>
      <w:pPr>
        <w:pStyle w:val="HistoryNote"/>
        <w:pBdr/>
        <w:spacing/>
        <w:rPr/>
      </w:pPr>
      <w:r>
        <w:rPr>
          <w:rStyle w:val="HistoryNote"/>
        </w:rPr>
        <w:t xml:space="preserve">(Ord. No. 09-05, § 1, 5-12-2009)</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82-146.</w:t>
      </w:r>
      <w:r>
        <w:rPr/>
        <w:t xml:space="preserve"> </w:t>
      </w:r>
      <w:r>
        <w:rPr/>
        <w:t xml:space="preserve">Decreased rate of taxation to be applied after successful remedial action or redevelopment of blighted property.</w:t>
      </w:r>
    </w:p>
    <w:p>
      <w:pPr>
        <w:pStyle w:val="List1"/>
        <w:pBdr/>
        <w:spacing/>
        <w:rPr/>
      </w:pPr>
      <w:r>
        <w:rPr/>
        <w:t xml:space="preserve">(a)</w:t>
      </w:r>
      <w:r>
        <w:rPr/>
        <w:tab/>
        <w:t xml:space="preserve"/>
      </w:r>
      <w:r>
        <w:rPr/>
        <w:t xml:space="preserve">Real property which has had its designation as maintained in a blighted condition removed by the public officer, as provided in </w:t>
      </w:r>
      <w:r>
        <w:rPr/>
        <w:t xml:space="preserve">section 82-144</w:t>
      </w:r>
      <w:r>
        <w:rPr/>
        <w:t xml:space="preserve"> of this article, shall be eligible for a decrease in the rate of city ad valorem taxation by applying a factor of 0.5 to the city millage rate applied to the property, so that such property shall be taxed at a lower millage rate than the millage rate generally applied in the municipality or otherwise provided by general law; such decreased rate of taxation shall be applied beginning with the next tax bill rendered following removal of official designation of a real property as blighted. The decreased rate of taxation may be given in successive years, depending on the amount of cost expended by the person(s) chargeable with payment of ad valorem taxes on the property to satisfy its remediation or redevelopment, with every $25,000.00 or portion thereof equaling one year of tax reduction; provided, however, that no property shall be entitled to reduction in city ad valorem taxes for more than four successive years. </w:t>
      </w:r>
    </w:p>
    <w:p>
      <w:pPr>
        <w:pStyle w:val="List1"/>
        <w:pBdr/>
        <w:spacing/>
        <w:rPr/>
      </w:pPr>
      <w:r>
        <w:rPr/>
        <w:t xml:space="preserve">(b)</w:t>
      </w:r>
      <w:r>
        <w:rPr/>
        <w:tab/>
        <w:t xml:space="preserve"/>
      </w:r>
      <w:r>
        <w:rPr/>
        <w:t xml:space="preserve">In order to claim entitlement for a decreased rate of taxation, the person(s) chargeable with payment of ad valorem taxes on the property shall submit a notarized affidavit to the public officer, supported by receipts or other evidence of payment, of the amount expended. </w:t>
      </w:r>
    </w:p>
    <w:p>
      <w:pPr>
        <w:pStyle w:val="HistoryNote"/>
        <w:pBdr/>
        <w:spacing/>
        <w:rPr/>
      </w:pPr>
      <w:r>
        <w:rPr>
          <w:rStyle w:val="HistoryNote"/>
        </w:rPr>
        <w:t xml:space="preserve">(Ord. No. 09-05, § 1, 5-12-2009)</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82-147.</w:t>
      </w:r>
      <w:r>
        <w:rPr/>
        <w:t xml:space="preserve"> </w:t>
      </w:r>
      <w:r>
        <w:rPr/>
        <w:t xml:space="preserve">Duty of public officer to provide notice to county tax commissioner.</w:t>
      </w:r>
    </w:p>
    <w:p>
      <w:pPr>
        <w:pStyle w:val="Paragraph1"/>
        <w:pBdr/>
        <w:spacing/>
        <w:rPr/>
      </w:pPr>
      <w:r>
        <w:rPr>
          <w:rStyle w:val="Paragraph1"/>
        </w:rPr>
        <w:t xml:space="preserve">It shall be the duty of the public officer to notify the Tax Commissioner of Spalding County in writing as to designation or removal of designation of a specific property as maintained in a blighted condition. Such notice shall identify the specific property by street address and tax map, block and parcel number, as assigned by the Spalding County Tax Assessor's Office. The public officer shall cooperate with the tax commissioner to assure accurate tax billing of those properties subject to increased or reduced ad valorem taxation under this article. </w:t>
      </w:r>
    </w:p>
    <w:p>
      <w:pPr>
        <w:pStyle w:val="HistoryNote"/>
        <w:pBdr/>
        <w:spacing/>
        <w:rPr/>
      </w:pPr>
      <w:r>
        <w:rPr>
          <w:rStyle w:val="HistoryNote"/>
        </w:rPr>
        <w:t xml:space="preserve">(Ord. No. 09-05, § 1, 5-12-2009)</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Secs. 82-148, 82-149.</w:t>
      </w:r>
      <w:r>
        <w:rPr/>
        <w:t xml:space="preserve"> </w:t>
      </w:r>
      <w:r>
        <w:rPr/>
        <w:t xml:space="preserve">Reserved.</w:t>
      </w:r>
    </w:p>
    <w:p>
      <w:pPr>
        <w:pBdr/>
        <w:spacing w:before="0" w:after="0"/>
        <w:rPr/>
      </w:pPr>
    </w:p>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2026-03-04 13:56:48 [EST]</w:t>
    </w:r>
  </w:p>
  <w:p>
    <w:pPr>
      <w:pStyle w:val="FooterLeft"/>
      <w:pBdr/>
      <w:spacing/>
      <w:rPr/>
    </w:pPr>
    <w:r>
      <w:rPr/>
      <w:t xml:space="preserve">(Supp. No. 57)</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2026-03-04 13:56:48 [EST]</w:t>
    </w:r>
  </w:p>
  <w:p>
    <w:pPr>
      <w:pStyle w:val="FooterLeft"/>
      <w:pBdr/>
      <w:spacing/>
      <w:rPr/>
    </w:pPr>
    <w:r>
      <w:rPr/>
      <w:t xml:space="preserve">(Supp. No. 57)</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2026-03-04 13:56:48 [EST]</w:t>
    </w:r>
  </w:p>
  <w:p>
    <w:pPr>
      <w:pStyle w:val="FooterLeft"/>
      <w:pBdr/>
      <w:spacing/>
      <w:rPr/>
    </w:pPr>
    <w:r>
      <w:rPr/>
      <w:t xml:space="preserve">(Supp. No. 57)</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2026-03-04 13:56:48 [EST]</w:t>
    </w:r>
  </w:p>
  <w:p>
    <w:pPr>
      <w:pStyle w:val="FooterLeft"/>
      <w:pBdr/>
      <w:spacing/>
      <w:rPr/>
    </w:pPr>
    <w:r>
      <w:rPr/>
      <w:t xml:space="preserve">(Supp. No. 57)</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2026-03-04 13:56:48 [EST]</w:t>
    </w:r>
  </w:p>
  <w:p>
    <w:pPr>
      <w:pStyle w:val="FooterLeft"/>
      <w:pBdr/>
      <w:spacing/>
      <w:rPr/>
    </w:pPr>
    <w:r>
      <w:rPr/>
      <w:t xml:space="preserve">(Supp. No. 57)</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2026-03-04 13:56:48 [EST]</w:t>
    </w:r>
  </w:p>
  <w:p>
    <w:pPr>
      <w:pStyle w:val="FooterLeft"/>
      <w:pBdr/>
      <w:spacing/>
      <w:rPr/>
    </w:pPr>
    <w:r>
      <w:rPr/>
      <w:t xml:space="preserve">(Supp. No. 57)</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2026-03-04 13:56:48 [EST]</w:t>
    </w:r>
  </w:p>
  <w:p>
    <w:pPr>
      <w:pStyle w:val="FooterLeft"/>
      <w:pBdr/>
      <w:spacing/>
      <w:rPr/>
    </w:pPr>
    <w:r>
      <w:rPr/>
      <w:t xml:space="preserve">(Supp. No. 57)</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2026-03-04 13:56:48 [EST]</w:t>
    </w:r>
  </w:p>
  <w:p>
    <w:pPr>
      <w:pStyle w:val="FooterLeft"/>
      <w:pBdr/>
      <w:spacing/>
      <w:rPr/>
    </w:pPr>
    <w:r>
      <w:rPr/>
      <w:t xml:space="preserve">(Supp. No. 57)</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406C016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5FB8449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777F165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1946DF9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3BD997F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1DEF6CA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567CCB2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4ABB6A4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Paragraph1" w:customStyle="1">
    <w:name w:val="Paragraph 1"/>
    <w:basedOn w:val="Normal"/>
    <w:uiPriority w:val="7"/>
    <w:qFormat/>
    <w:pPr>
      <w:pBdr/>
      <w:spacing/>
      <w:ind w:firstLine="475"/>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bdd006ac-4828-40e0-b9ad-487091be51a5" w:customStyle="1">
    <w:name w:val="Normal Table_bdd006ac-4828-40e0-b9ad-487091be51a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bdd006ac-4828-40e0-b9ad-487091be51a5"/>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8b912240-3cde-4324-922e-67df0274bb38" w:customStyle="1">
    <w:name w:val="Normal Table_8b912240-3cde-4324-922e-67df0274bb3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8b912240-3cde-4324-922e-67df0274bb3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4721504-b28a-4409-886d-5025851cbed3" w:customStyle="1">
    <w:name w:val="Normal Table_b4721504-b28a-4409-886d-5025851cbed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9669d57d-3bba-4988-a372-d669076c5ba6" w:customStyle="1">
    <w:name w:val="Table 1_9669d57d-3bba-4988-a372-d669076c5ba6"/>
    <w:basedOn w:val="NormalTable_b4721504-b28a-4409-886d-5025851cbed3"/>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9669d57d-3bba-4988-a372-d669076c5ba6"/>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dcab4321-e881-4e7e-a933-52a37753a564" w:customStyle="1">
    <w:name w:val="Normal Table_dcab4321-e881-4e7e-a933-52a37753a56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9b9f24cd-bc0a-46b8-81be-ccf282892fb7" w:customStyle="1">
    <w:name w:val="Table 1_9b9f24cd-bc0a-46b8-81be-ccf282892fb7"/>
    <w:basedOn w:val="NormalTable_dcab4321-e881-4e7e-a933-52a37753a56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a9d3a8cf-29af-42ef-ad8b-6e4fc9c9c980" w:customStyle="1">
    <w:name w:val="Table 2_a9d3a8cf-29af-42ef-ad8b-6e4fc9c9c980"/>
    <w:basedOn w:val="Table1_9b9f24cd-bc0a-46b8-81be-ccf282892fb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a9d3a8cf-29af-42ef-ad8b-6e4fc9c9c98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7aead2f-5bb5-4a0e-8c79-535b1967523e" w:customStyle="1">
    <w:name w:val="Normal Table_17aead2f-5bb5-4a0e-8c79-535b1967523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229796b4-0431-43b9-a181-80307525af05" w:customStyle="1">
    <w:name w:val="Table 1_229796b4-0431-43b9-a181-80307525af05"/>
    <w:basedOn w:val="NormalTable_17aead2f-5bb5-4a0e-8c79-535b1967523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e03e04ba-726f-4766-a6b4-5695ced00f10" w:customStyle="1">
    <w:name w:val="Table 2_e03e04ba-726f-4766-a6b4-5695ced00f10"/>
    <w:basedOn w:val="Table1_229796b4-0431-43b9-a181-80307525af05"/>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081f356e-8c9e-4feb-9f46-2935ec7a897e" w:customStyle="1">
    <w:name w:val="Table 3_081f356e-8c9e-4feb-9f46-2935ec7a897e"/>
    <w:basedOn w:val="Table2_e03e04ba-726f-4766-a6b4-5695ced00f1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081f356e-8c9e-4feb-9f46-2935ec7a897e"/>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5b70dc73-dfba-47a3-8a50-4d6ad6fcda24" w:customStyle="1">
    <w:name w:val="Normal Table_5b70dc73-dfba-47a3-8a50-4d6ad6fcda2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1162a814-db4b-4da5-beab-fa6126195cdb" w:customStyle="1">
    <w:name w:val="Table 1_1162a814-db4b-4da5-beab-fa6126195cdb"/>
    <w:basedOn w:val="NormalTable_5b70dc73-dfba-47a3-8a50-4d6ad6fcda2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7ca70b5e-5e6c-45b6-9c07-23e8410053dd" w:customStyle="1">
    <w:name w:val="Table 2_7ca70b5e-5e6c-45b6-9c07-23e8410053dd"/>
    <w:basedOn w:val="Table1_1162a814-db4b-4da5-beab-fa6126195cdb"/>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24f18a12-bb3b-4cc5-b33f-eef9379f7f23" w:customStyle="1">
    <w:name w:val="Table 3_24f18a12-bb3b-4cc5-b33f-eef9379f7f23"/>
    <w:basedOn w:val="Table2_7ca70b5e-5e6c-45b6-9c07-23e8410053d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20187603-e700-44e9-a16a-aad1477ec5b9" w:customStyle="1">
    <w:name w:val="Table 4_20187603-e700-44e9-a16a-aad1477ec5b9"/>
    <w:basedOn w:val="Table3_24f18a12-bb3b-4cc5-b33f-eef9379f7f23"/>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20187603-e700-44e9-a16a-aad1477ec5b9"/>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9e97e22d-d35d-428f-91a2-c88e417bd386" w:customStyle="1">
    <w:name w:val="Normal Table_9e97e22d-d35d-428f-91a2-c88e417bd38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bcb47050-38dd-4d8a-b741-f842cf0c7812" w:customStyle="1">
    <w:name w:val="Table 1_bcb47050-38dd-4d8a-b741-f842cf0c7812"/>
    <w:basedOn w:val="NormalTable_9e97e22d-d35d-428f-91a2-c88e417bd386"/>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6760270c-70dc-4ce2-8443-6a23569cb7b5" w:customStyle="1">
    <w:name w:val="Table 2_6760270c-70dc-4ce2-8443-6a23569cb7b5"/>
    <w:basedOn w:val="Table1_bcb47050-38dd-4d8a-b741-f842cf0c781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a685d46c-2d4b-4397-b4fe-ab759a62c69d" w:customStyle="1">
    <w:name w:val="Table 3_a685d46c-2d4b-4397-b4fe-ab759a62c69d"/>
    <w:basedOn w:val="Table2_6760270c-70dc-4ce2-8443-6a23569cb7b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605caa09-0218-4149-81e8-a3b200fbfb5f" w:customStyle="1">
    <w:name w:val="Table 4_605caa09-0218-4149-81e8-a3b200fbfb5f"/>
    <w:basedOn w:val="Table3_a685d46c-2d4b-4397-b4fe-ab759a62c69d"/>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1504ae8b-a66f-449f-9b7d-f51503de4f36" w:customStyle="1">
    <w:name w:val="Table 5_1504ae8b-a66f-449f-9b7d-f51503de4f36"/>
    <w:basedOn w:val="Table4_605caa09-0218-4149-81e8-a3b200fbfb5f"/>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1504ae8b-a66f-449f-9b7d-f51503de4f36"/>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07344b36-767f-41c8-90bf-0f543c20ab95" w:customStyle="1">
    <w:name w:val="Normal Table_07344b36-767f-41c8-90bf-0f543c20ab9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416b3a3a-0750-4b06-b11a-c79d8df75a45" w:customStyle="1">
    <w:name w:val="Table 1_416b3a3a-0750-4b06-b11a-c79d8df75a45"/>
    <w:basedOn w:val="NormalTable_07344b36-767f-41c8-90bf-0f543c20ab9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23ef83c1-a667-4995-bdf9-2272639d7310" w:customStyle="1">
    <w:name w:val="Table 2_23ef83c1-a667-4995-bdf9-2272639d7310"/>
    <w:basedOn w:val="Table1_416b3a3a-0750-4b06-b11a-c79d8df75a45"/>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28d958b4-d93b-4299-a9ef-7b1109dcc3cc" w:customStyle="1">
    <w:name w:val="Table 3_28d958b4-d93b-4299-a9ef-7b1109dcc3cc"/>
    <w:basedOn w:val="Table2_23ef83c1-a667-4995-bdf9-2272639d731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891181be-6b72-43ab-a9fc-6461c481dbb3" w:customStyle="1">
    <w:name w:val="Table 4_891181be-6b72-43ab-a9fc-6461c481dbb3"/>
    <w:basedOn w:val="Table3_28d958b4-d93b-4299-a9ef-7b1109dcc3cc"/>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d104a1c2-c1d1-4bea-8214-ed01edd9131e" w:customStyle="1">
    <w:name w:val="Table 5_d104a1c2-c1d1-4bea-8214-ed01edd9131e"/>
    <w:basedOn w:val="Table4_891181be-6b72-43ab-a9fc-6461c481dbb3"/>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b1eb4523-5cb4-427d-8e95-cdf25763267b" w:customStyle="1">
    <w:name w:val="Table 6_b1eb4523-5cb4-427d-8e95-cdf25763267b"/>
    <w:basedOn w:val="Table5_d104a1c2-c1d1-4bea-8214-ed01edd9131e"/>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b1eb4523-5cb4-427d-8e95-cdf25763267b"/>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2e43960-f372-4779-9baa-5b1905d2b1f2" w:customStyle="1">
    <w:name w:val="Normal Table_02e43960-f372-4779-9baa-5b1905d2b1f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2bc395f-d698-403e-9124-9dcfbe8e2db2" w:customStyle="1">
    <w:name w:val="Table 1_d2bc395f-d698-403e-9124-9dcfbe8e2db2"/>
    <w:basedOn w:val="NormalTable_02e43960-f372-4779-9baa-5b1905d2b1f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42ed03c0-90c5-4085-b4fd-801391e109c8" w:customStyle="1">
    <w:name w:val="Table 2_42ed03c0-90c5-4085-b4fd-801391e109c8"/>
    <w:basedOn w:val="Table1_d2bc395f-d698-403e-9124-9dcfbe8e2db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0c2b2357-27d3-4862-9344-defbc045ef59" w:customStyle="1">
    <w:name w:val="Table 3_0c2b2357-27d3-4862-9344-defbc045ef59"/>
    <w:basedOn w:val="Table2_42ed03c0-90c5-4085-b4fd-801391e109c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decea4bc-ba8a-44b0-9806-efaf56781f74" w:customStyle="1">
    <w:name w:val="Table 4_decea4bc-ba8a-44b0-9806-efaf56781f74"/>
    <w:basedOn w:val="Table3_0c2b2357-27d3-4862-9344-defbc045ef59"/>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0ac2923a-479f-4638-a520-81c0d00762d4" w:customStyle="1">
    <w:name w:val="Table 5_0ac2923a-479f-4638-a520-81c0d00762d4"/>
    <w:basedOn w:val="Table4_decea4bc-ba8a-44b0-9806-efaf56781f74"/>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ba20ffeb-9554-4aff-9059-608d6489279c" w:customStyle="1">
    <w:name w:val="Table 6_ba20ffeb-9554-4aff-9059-608d6489279c"/>
    <w:basedOn w:val="Table5_0ac2923a-479f-4638-a520-81c0d00762d4"/>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098b5a8f-f573-4261-80a9-46370575d255" w:customStyle="1">
    <w:name w:val="Table 7_098b5a8f-f573-4261-80a9-46370575d255"/>
    <w:basedOn w:val="Table6_ba20ffeb-9554-4aff-9059-608d6489279c"/>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098b5a8f-f573-4261-80a9-46370575d255"/>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e674d6e9-a5af-4a32-9803-ce3cfac1a8f8" w:customStyle="1">
    <w:name w:val="Normal Table_e674d6e9-a5af-4a32-9803-ce3cfac1a8f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f4bfde3f-4c53-46fe-8512-2f1b41c6d85b" w:customStyle="1">
    <w:name w:val="Table 1_f4bfde3f-4c53-46fe-8512-2f1b41c6d85b"/>
    <w:basedOn w:val="NormalTable_e674d6e9-a5af-4a32-9803-ce3cfac1a8f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2c718b0-61bf-4d5e-a039-910f71cfe0af" w:customStyle="1">
    <w:name w:val="Table 2_52c718b0-61bf-4d5e-a039-910f71cfe0af"/>
    <w:basedOn w:val="Table1_f4bfde3f-4c53-46fe-8512-2f1b41c6d85b"/>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50232112-e3d9-436c-9fcd-f8b119d1aaa1" w:customStyle="1">
    <w:name w:val="Table 3_50232112-e3d9-436c-9fcd-f8b119d1aaa1"/>
    <w:basedOn w:val="Table2_52c718b0-61bf-4d5e-a039-910f71cfe0a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f3399e62-0148-4a99-bd7c-0f5d9060860c" w:customStyle="1">
    <w:name w:val="Table 4_f3399e62-0148-4a99-bd7c-0f5d9060860c"/>
    <w:basedOn w:val="Table3_50232112-e3d9-436c-9fcd-f8b119d1aaa1"/>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e5118fe6-3fda-48ab-b335-2aa8f64be7ee" w:customStyle="1">
    <w:name w:val="Table 5_e5118fe6-3fda-48ab-b335-2aa8f64be7ee"/>
    <w:basedOn w:val="Table4_f3399e62-0148-4a99-bd7c-0f5d9060860c"/>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433abec4-0005-4274-8233-7aa95fff17d9" w:customStyle="1">
    <w:name w:val="Table 6_433abec4-0005-4274-8233-7aa95fff17d9"/>
    <w:basedOn w:val="Table5_e5118fe6-3fda-48ab-b335-2aa8f64be7ee"/>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32415318-ca2f-44f0-a8f4-f288f988fa7a" w:customStyle="1">
    <w:name w:val="Table 7_32415318-ca2f-44f0-a8f4-f288f988fa7a"/>
    <w:basedOn w:val="Table6_433abec4-0005-4274-8233-7aa95fff17d9"/>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66dec7e5-dd08-4313-914c-ac2eba74b6f7" w:customStyle="1">
    <w:name w:val="Table 8_66dec7e5-dd08-4313-914c-ac2eba74b6f7"/>
    <w:basedOn w:val="Table7_32415318-ca2f-44f0-a8f4-f288f988fa7a"/>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66dec7e5-dd08-4313-914c-ac2eba74b6f7"/>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48c9d9c9-3d17-44fa-8af4-ecf71ab5500d" w:customStyle="1">
    <w:name w:val="Normal Table_48c9d9c9-3d17-44fa-8af4-ecf71ab5500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48c9d9c9-3d17-44fa-8af4-ecf71ab5500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c1880a47-1fc6-4087-a313-641194769967" w:customStyle="1">
    <w:name w:val="Normal Table_c1880a47-1fc6-4087-a313-64119476996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11b85d89-c318-4d57-8561-0f7dcbeb86c7" w:customStyle="1">
    <w:name w:val="Table NoRule 1_11b85d89-c318-4d57-8561-0f7dcbeb86c7"/>
    <w:basedOn w:val="NormalTable_c1880a47-1fc6-4087-a313-64119476996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11b85d89-c318-4d57-8561-0f7dcbeb86c7"/>
    <w:uiPriority w:val="99"/>
    <w:pPr>
      <w:pBdr/>
      <w:spacing/>
    </w:pPr>
    <w:rPr/>
    <w:tblPr>
      <w:tblInd w:w="475" w:type="dxa"/>
      <w:tblBorders/>
      <w:tblCellMar/>
    </w:tblPr>
    <w:trPr/>
    <w:tcPr>
      <w:tcBorders/>
      <w:shd w:val="clear" w:color="auto" w:fill="auto"/>
      <w:tcMar/>
      <w:vAlign w:val="top"/>
    </w:tcPr>
  </w:style>
  <w:style w:type="table" w:styleId="NormalTable_091e0dcc-c9c2-4390-8fe5-a2dbe01d97d3" w:customStyle="1">
    <w:name w:val="Normal Table_091e0dcc-c9c2-4390-8fe5-a2dbe01d97d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d7c69a9-985f-4672-aaf5-2fa2649ac205" w:customStyle="1">
    <w:name w:val="Table NoRule 1_0d7c69a9-985f-4672-aaf5-2fa2649ac205"/>
    <w:basedOn w:val="NormalTable_091e0dcc-c9c2-4390-8fe5-a2dbe01d97d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f9caa858-713e-4490-9da5-2e0a11d4bfa6" w:customStyle="1">
    <w:name w:val="Table NoRule 2_f9caa858-713e-4490-9da5-2e0a11d4bfa6"/>
    <w:basedOn w:val="TableNoRule1_0d7c69a9-985f-4672-aaf5-2fa2649ac205"/>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f9caa858-713e-4490-9da5-2e0a11d4bfa6"/>
    <w:uiPriority w:val="99"/>
    <w:pPr>
      <w:pBdr/>
      <w:spacing/>
    </w:pPr>
    <w:rPr/>
    <w:tblPr>
      <w:tblInd w:w="950" w:type="dxa"/>
      <w:tblBorders/>
      <w:tblCellMar/>
    </w:tblPr>
    <w:trPr/>
    <w:tcPr>
      <w:tcBorders/>
      <w:shd w:val="clear" w:color="auto" w:fill="auto"/>
      <w:tcMar/>
      <w:vAlign w:val="top"/>
    </w:tcPr>
  </w:style>
  <w:style w:type="table" w:styleId="NormalTable_d57a21d4-69cc-4bc4-9aa8-4574525ea745" w:customStyle="1">
    <w:name w:val="Normal Table_d57a21d4-69cc-4bc4-9aa8-4574525ea74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fce63473-9984-407a-80e5-36cf593e5dcd" w:customStyle="1">
    <w:name w:val="Table NoRule 1_fce63473-9984-407a-80e5-36cf593e5dcd"/>
    <w:basedOn w:val="NormalTable_d57a21d4-69cc-4bc4-9aa8-4574525ea74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ed33bc0-9d51-4a28-ab0c-c3c965d12ca8" w:customStyle="1">
    <w:name w:val="Table NoRule 2_eed33bc0-9d51-4a28-ab0c-c3c965d12ca8"/>
    <w:basedOn w:val="TableNoRule1_fce63473-9984-407a-80e5-36cf593e5dcd"/>
    <w:uiPriority w:val="99"/>
    <w:pPr>
      <w:pBdr/>
      <w:spacing/>
    </w:pPr>
    <w:rPr/>
    <w:tblPr>
      <w:tblInd w:w="475" w:type="dxa"/>
      <w:tblBorders/>
      <w:tblCellMar/>
    </w:tblPr>
    <w:trPr/>
    <w:tcPr>
      <w:tcBorders/>
      <w:shd w:val="clear" w:color="auto" w:fill="auto"/>
      <w:tcMar/>
      <w:vAlign w:val="top"/>
    </w:tcPr>
  </w:style>
  <w:style w:type="table" w:styleId="TableNoRule3_7a451e6e-d4c3-4ebf-8c36-463ece93c0bd" w:customStyle="1">
    <w:name w:val="Table NoRule 3_7a451e6e-d4c3-4ebf-8c36-463ece93c0bd"/>
    <w:basedOn w:val="TableNoRule2_eed33bc0-9d51-4a28-ab0c-c3c965d12ca8"/>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7a451e6e-d4c3-4ebf-8c36-463ece93c0bd"/>
    <w:uiPriority w:val="99"/>
    <w:pPr>
      <w:pBdr/>
      <w:spacing/>
    </w:pPr>
    <w:rPr/>
    <w:tblPr>
      <w:tblInd w:w="1440" w:type="dxa"/>
      <w:tblBorders/>
      <w:tblCellMar/>
    </w:tblPr>
    <w:trPr/>
    <w:tcPr>
      <w:tcBorders/>
      <w:shd w:val="clear" w:color="auto" w:fill="auto"/>
      <w:tcMar/>
      <w:vAlign w:val="top"/>
    </w:tcPr>
  </w:style>
  <w:style w:type="table" w:styleId="NormalTable_a0c11785-cc58-48d9-9868-1a1e984a1b44" w:customStyle="1">
    <w:name w:val="Normal Table_a0c11785-cc58-48d9-9868-1a1e984a1b4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5b24b915-6d1d-4af6-a86c-a0b6c1b0ab18" w:customStyle="1">
    <w:name w:val="Table NoRule 1_5b24b915-6d1d-4af6-a86c-a0b6c1b0ab18"/>
    <w:basedOn w:val="NormalTable_a0c11785-cc58-48d9-9868-1a1e984a1b4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427fdd24-9d73-4fa1-9fc5-0e378d1a4ee0" w:customStyle="1">
    <w:name w:val="Table NoRule 2_427fdd24-9d73-4fa1-9fc5-0e378d1a4ee0"/>
    <w:basedOn w:val="TableNoRule1_5b24b915-6d1d-4af6-a86c-a0b6c1b0ab18"/>
    <w:uiPriority w:val="99"/>
    <w:pPr>
      <w:pBdr/>
      <w:spacing/>
    </w:pPr>
    <w:rPr/>
    <w:tblPr>
      <w:tblInd w:w="475" w:type="dxa"/>
      <w:tblBorders/>
      <w:tblCellMar/>
    </w:tblPr>
    <w:trPr/>
    <w:tcPr>
      <w:tcBorders/>
      <w:shd w:val="clear" w:color="auto" w:fill="auto"/>
      <w:tcMar/>
      <w:vAlign w:val="top"/>
    </w:tcPr>
  </w:style>
  <w:style w:type="table" w:styleId="TableNoRule3_269fa53b-1501-41ee-85de-05a8fa83eea0" w:customStyle="1">
    <w:name w:val="Table NoRule 3_269fa53b-1501-41ee-85de-05a8fa83eea0"/>
    <w:basedOn w:val="TableNoRule2_427fdd24-9d73-4fa1-9fc5-0e378d1a4ee0"/>
    <w:uiPriority w:val="99"/>
    <w:pPr>
      <w:pBdr/>
      <w:spacing/>
    </w:pPr>
    <w:rPr/>
    <w:tblPr>
      <w:tblInd w:w="950" w:type="dxa"/>
      <w:tblBorders/>
      <w:tblCellMar/>
    </w:tblPr>
    <w:trPr/>
    <w:tcPr>
      <w:tcBorders/>
      <w:shd w:val="clear" w:color="auto" w:fill="auto"/>
      <w:tcMar/>
      <w:vAlign w:val="top"/>
    </w:tcPr>
  </w:style>
  <w:style w:type="table" w:styleId="TableNoRule4_62a1a2b2-b7e2-4115-9c86-68635be4bdbd" w:customStyle="1">
    <w:name w:val="Table NoRule 4_62a1a2b2-b7e2-4115-9c86-68635be4bdbd"/>
    <w:basedOn w:val="TableNoRule3_269fa53b-1501-41ee-85de-05a8fa83eea0"/>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62a1a2b2-b7e2-4115-9c86-68635be4bdbd"/>
    <w:uiPriority w:val="99"/>
    <w:pPr>
      <w:pBdr/>
      <w:spacing/>
    </w:pPr>
    <w:rPr/>
    <w:tblPr>
      <w:tblInd w:w="1915" w:type="dxa"/>
      <w:tblBorders/>
      <w:tblCellMar/>
    </w:tblPr>
    <w:trPr/>
    <w:tcPr>
      <w:tcBorders/>
      <w:shd w:val="clear" w:color="auto" w:fill="auto"/>
      <w:tcMar/>
      <w:vAlign w:val="top"/>
    </w:tcPr>
  </w:style>
  <w:style w:type="table" w:styleId="NormalTable_78b0e51c-6d68-490b-856b-81aba84ec3f9" w:customStyle="1">
    <w:name w:val="Normal Table_78b0e51c-6d68-490b-856b-81aba84ec3f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d1291ad8-7ed3-4aee-9b3a-9a343ca772a7" w:customStyle="1">
    <w:name w:val="Table NoRule 1_d1291ad8-7ed3-4aee-9b3a-9a343ca772a7"/>
    <w:basedOn w:val="NormalTable_78b0e51c-6d68-490b-856b-81aba84ec3f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63b79b3-a8cb-4ca4-8501-bfc1876f8475" w:customStyle="1">
    <w:name w:val="Table NoRule 2_e63b79b3-a8cb-4ca4-8501-bfc1876f8475"/>
    <w:basedOn w:val="TableNoRule1_d1291ad8-7ed3-4aee-9b3a-9a343ca772a7"/>
    <w:uiPriority w:val="99"/>
    <w:pPr>
      <w:pBdr/>
      <w:spacing/>
    </w:pPr>
    <w:rPr/>
    <w:tblPr>
      <w:tblInd w:w="475" w:type="dxa"/>
      <w:tblBorders/>
      <w:tblCellMar/>
    </w:tblPr>
    <w:trPr/>
    <w:tcPr>
      <w:tcBorders/>
      <w:shd w:val="clear" w:color="auto" w:fill="auto"/>
      <w:tcMar/>
      <w:vAlign w:val="top"/>
    </w:tcPr>
  </w:style>
  <w:style w:type="table" w:styleId="TableNoRule3_71dd61da-b9a2-4dc0-8e77-ef040fe4efba" w:customStyle="1">
    <w:name w:val="Table NoRule 3_71dd61da-b9a2-4dc0-8e77-ef040fe4efba"/>
    <w:basedOn w:val="TableNoRule2_e63b79b3-a8cb-4ca4-8501-bfc1876f8475"/>
    <w:uiPriority w:val="99"/>
    <w:pPr>
      <w:pBdr/>
      <w:spacing/>
    </w:pPr>
    <w:rPr/>
    <w:tblPr>
      <w:tblInd w:w="950" w:type="dxa"/>
      <w:tblBorders/>
      <w:tblCellMar/>
    </w:tblPr>
    <w:trPr/>
    <w:tcPr>
      <w:tcBorders/>
      <w:shd w:val="clear" w:color="auto" w:fill="auto"/>
      <w:tcMar/>
      <w:vAlign w:val="top"/>
    </w:tcPr>
  </w:style>
  <w:style w:type="table" w:styleId="TableNoRule4_fb5f1e15-a9ff-47eb-91d2-e1c4598f8a83" w:customStyle="1">
    <w:name w:val="Table NoRule 4_fb5f1e15-a9ff-47eb-91d2-e1c4598f8a83"/>
    <w:basedOn w:val="TableNoRule3_71dd61da-b9a2-4dc0-8e77-ef040fe4efba"/>
    <w:uiPriority w:val="99"/>
    <w:pPr>
      <w:pBdr/>
      <w:spacing/>
    </w:pPr>
    <w:rPr/>
    <w:tblPr>
      <w:tblInd w:w="1440" w:type="dxa"/>
      <w:tblBorders/>
      <w:tblCellMar/>
    </w:tblPr>
    <w:trPr/>
    <w:tcPr>
      <w:tcBorders/>
      <w:shd w:val="clear" w:color="auto" w:fill="auto"/>
      <w:tcMar/>
      <w:vAlign w:val="top"/>
    </w:tcPr>
  </w:style>
  <w:style w:type="table" w:styleId="TableNoRule5_034a7bee-d144-48fa-a444-b1fe123e2483" w:customStyle="1">
    <w:name w:val="Table NoRule 5_034a7bee-d144-48fa-a444-b1fe123e2483"/>
    <w:basedOn w:val="TableNoRule4_fb5f1e15-a9ff-47eb-91d2-e1c4598f8a83"/>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034a7bee-d144-48fa-a444-b1fe123e2483"/>
    <w:uiPriority w:val="99"/>
    <w:pPr>
      <w:pBdr/>
      <w:spacing/>
    </w:pPr>
    <w:rPr/>
    <w:tblPr>
      <w:tblInd w:w="2390" w:type="dxa"/>
      <w:tblBorders/>
      <w:tblCellMar/>
    </w:tblPr>
    <w:trPr/>
    <w:tcPr>
      <w:tcBorders/>
      <w:shd w:val="clear" w:color="auto" w:fill="auto"/>
      <w:tcMar/>
      <w:vAlign w:val="top"/>
    </w:tcPr>
  </w:style>
  <w:style w:type="table" w:styleId="NormalTable_4e04173e-231a-443a-8d80-752b88de7d11" w:customStyle="1">
    <w:name w:val="Normal Table_4e04173e-231a-443a-8d80-752b88de7d1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05d853d-4ffd-4ed5-bc54-68945b0891d8" w:customStyle="1">
    <w:name w:val="Table NoRule 1_605d853d-4ffd-4ed5-bc54-68945b0891d8"/>
    <w:basedOn w:val="NormalTable_4e04173e-231a-443a-8d80-752b88de7d11"/>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c2aeb929-3d31-4ab3-b9f4-5e4c07eec9b3" w:customStyle="1">
    <w:name w:val="Table NoRule 2_c2aeb929-3d31-4ab3-b9f4-5e4c07eec9b3"/>
    <w:basedOn w:val="TableNoRule1_605d853d-4ffd-4ed5-bc54-68945b0891d8"/>
    <w:uiPriority w:val="99"/>
    <w:pPr>
      <w:pBdr/>
      <w:spacing/>
    </w:pPr>
    <w:rPr/>
    <w:tblPr>
      <w:tblInd w:w="475" w:type="dxa"/>
      <w:tblBorders/>
      <w:tblCellMar/>
    </w:tblPr>
    <w:trPr/>
    <w:tcPr>
      <w:tcBorders/>
      <w:shd w:val="clear" w:color="auto" w:fill="auto"/>
      <w:tcMar/>
      <w:vAlign w:val="top"/>
    </w:tcPr>
  </w:style>
  <w:style w:type="table" w:styleId="TableNoRule3_67602b76-bea8-4b6f-994e-a1208ea0e271" w:customStyle="1">
    <w:name w:val="Table NoRule 3_67602b76-bea8-4b6f-994e-a1208ea0e271"/>
    <w:basedOn w:val="TableNoRule2_c2aeb929-3d31-4ab3-b9f4-5e4c07eec9b3"/>
    <w:uiPriority w:val="99"/>
    <w:pPr>
      <w:pBdr/>
      <w:spacing/>
    </w:pPr>
    <w:rPr/>
    <w:tblPr>
      <w:tblInd w:w="950" w:type="dxa"/>
      <w:tblBorders/>
      <w:tblCellMar/>
    </w:tblPr>
    <w:trPr/>
    <w:tcPr>
      <w:tcBorders/>
      <w:shd w:val="clear" w:color="auto" w:fill="auto"/>
      <w:tcMar/>
      <w:vAlign w:val="top"/>
    </w:tcPr>
  </w:style>
  <w:style w:type="table" w:styleId="TableNoRule4_329b44a2-6fd0-477b-88bd-7c010f0d9c58" w:customStyle="1">
    <w:name w:val="Table NoRule 4_329b44a2-6fd0-477b-88bd-7c010f0d9c58"/>
    <w:basedOn w:val="TableNoRule3_67602b76-bea8-4b6f-994e-a1208ea0e271"/>
    <w:uiPriority w:val="99"/>
    <w:pPr>
      <w:pBdr/>
      <w:spacing/>
    </w:pPr>
    <w:rPr/>
    <w:tblPr>
      <w:tblInd w:w="1440" w:type="dxa"/>
      <w:tblBorders/>
      <w:tblCellMar/>
    </w:tblPr>
    <w:trPr/>
    <w:tcPr>
      <w:tcBorders/>
      <w:shd w:val="clear" w:color="auto" w:fill="auto"/>
      <w:tcMar/>
      <w:vAlign w:val="top"/>
    </w:tcPr>
  </w:style>
  <w:style w:type="table" w:styleId="TableNoRule5_b49ec4bd-af99-41d9-ac15-ffa6eabc4fd6" w:customStyle="1">
    <w:name w:val="Table NoRule 5_b49ec4bd-af99-41d9-ac15-ffa6eabc4fd6"/>
    <w:basedOn w:val="TableNoRule4_329b44a2-6fd0-477b-88bd-7c010f0d9c58"/>
    <w:uiPriority w:val="99"/>
    <w:pPr>
      <w:pBdr/>
      <w:spacing/>
    </w:pPr>
    <w:rPr/>
    <w:tblPr>
      <w:tblInd w:w="1915" w:type="dxa"/>
      <w:tblBorders/>
      <w:tblCellMar/>
    </w:tblPr>
    <w:trPr/>
    <w:tcPr>
      <w:tcBorders/>
      <w:shd w:val="clear" w:color="auto" w:fill="auto"/>
      <w:tcMar/>
      <w:vAlign w:val="top"/>
    </w:tcPr>
  </w:style>
  <w:style w:type="table" w:styleId="TableNoRule6_fc508bb0-cb63-4509-8116-e5bf0286a481" w:customStyle="1">
    <w:name w:val="Table NoRule 6_fc508bb0-cb63-4509-8116-e5bf0286a481"/>
    <w:basedOn w:val="TableNoRule5_b49ec4bd-af99-41d9-ac15-ffa6eabc4fd6"/>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fc508bb0-cb63-4509-8116-e5bf0286a481"/>
    <w:uiPriority w:val="99"/>
    <w:pPr>
      <w:pBdr/>
      <w:spacing/>
    </w:pPr>
    <w:rPr/>
    <w:tblPr>
      <w:tblInd w:w="2880" w:type="dxa"/>
      <w:tblBorders/>
      <w:tblCellMar/>
    </w:tblPr>
    <w:trPr/>
    <w:tcPr>
      <w:tcBorders/>
      <w:shd w:val="clear" w:color="auto" w:fill="auto"/>
      <w:tcMar/>
      <w:vAlign w:val="top"/>
    </w:tcPr>
  </w:style>
  <w:style w:type="table" w:styleId="NormalTable_391f792c-f3ff-4035-89db-0e6304d2118e" w:customStyle="1">
    <w:name w:val="Normal Table_391f792c-f3ff-4035-89db-0e6304d2118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82192fc-83e1-4a44-8bce-d74224062d0a" w:customStyle="1">
    <w:name w:val="Table NoRule 1_a82192fc-83e1-4a44-8bce-d74224062d0a"/>
    <w:basedOn w:val="NormalTable_391f792c-f3ff-4035-89db-0e6304d2118e"/>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82acf888-6405-4210-a14a-e76f8859095a" w:customStyle="1">
    <w:name w:val="Table NoRule 2_82acf888-6405-4210-a14a-e76f8859095a"/>
    <w:basedOn w:val="TableNoRule1_a82192fc-83e1-4a44-8bce-d74224062d0a"/>
    <w:uiPriority w:val="99"/>
    <w:pPr>
      <w:pBdr/>
      <w:spacing/>
    </w:pPr>
    <w:rPr/>
    <w:tblPr>
      <w:tblInd w:w="475" w:type="dxa"/>
      <w:tblBorders/>
      <w:tblCellMar/>
    </w:tblPr>
    <w:trPr/>
    <w:tcPr>
      <w:tcBorders/>
      <w:shd w:val="clear" w:color="auto" w:fill="auto"/>
      <w:tcMar/>
      <w:vAlign w:val="top"/>
    </w:tcPr>
  </w:style>
  <w:style w:type="table" w:styleId="TableNoRule3_8bb12025-d956-4304-9740-034b577e96bf" w:customStyle="1">
    <w:name w:val="Table NoRule 3_8bb12025-d956-4304-9740-034b577e96bf"/>
    <w:basedOn w:val="TableNoRule2_82acf888-6405-4210-a14a-e76f8859095a"/>
    <w:uiPriority w:val="99"/>
    <w:pPr>
      <w:pBdr/>
      <w:spacing/>
    </w:pPr>
    <w:rPr/>
    <w:tblPr>
      <w:tblInd w:w="950" w:type="dxa"/>
      <w:tblBorders/>
      <w:tblCellMar/>
    </w:tblPr>
    <w:trPr/>
    <w:tcPr>
      <w:tcBorders/>
      <w:shd w:val="clear" w:color="auto" w:fill="auto"/>
      <w:tcMar/>
      <w:vAlign w:val="top"/>
    </w:tcPr>
  </w:style>
  <w:style w:type="table" w:styleId="TableNoRule4_e0a91eb1-96d9-4bd3-a00a-53e948cca6d4" w:customStyle="1">
    <w:name w:val="Table NoRule 4_e0a91eb1-96d9-4bd3-a00a-53e948cca6d4"/>
    <w:basedOn w:val="TableNoRule3_8bb12025-d956-4304-9740-034b577e96bf"/>
    <w:uiPriority w:val="99"/>
    <w:pPr>
      <w:pBdr/>
      <w:spacing/>
    </w:pPr>
    <w:rPr/>
    <w:tblPr>
      <w:tblInd w:w="1440" w:type="dxa"/>
      <w:tblBorders/>
      <w:tblCellMar/>
    </w:tblPr>
    <w:trPr/>
    <w:tcPr>
      <w:tcBorders/>
      <w:shd w:val="clear" w:color="auto" w:fill="auto"/>
      <w:tcMar/>
      <w:vAlign w:val="top"/>
    </w:tcPr>
  </w:style>
  <w:style w:type="table" w:styleId="TableNoRule5_64dc0b50-033d-4d4f-ba41-d0556451fd12" w:customStyle="1">
    <w:name w:val="Table NoRule 5_64dc0b50-033d-4d4f-ba41-d0556451fd12"/>
    <w:basedOn w:val="TableNoRule4_e0a91eb1-96d9-4bd3-a00a-53e948cca6d4"/>
    <w:uiPriority w:val="99"/>
    <w:pPr>
      <w:pBdr/>
      <w:spacing/>
    </w:pPr>
    <w:rPr/>
    <w:tblPr>
      <w:tblInd w:w="1915" w:type="dxa"/>
      <w:tblBorders/>
      <w:tblCellMar/>
    </w:tblPr>
    <w:trPr/>
    <w:tcPr>
      <w:tcBorders/>
      <w:shd w:val="clear" w:color="auto" w:fill="auto"/>
      <w:tcMar/>
      <w:vAlign w:val="top"/>
    </w:tcPr>
  </w:style>
  <w:style w:type="table" w:styleId="TableNoRule6_78cb9c3d-04dd-4ab5-94e5-d8b785f733de" w:customStyle="1">
    <w:name w:val="Table NoRule 6_78cb9c3d-04dd-4ab5-94e5-d8b785f733de"/>
    <w:basedOn w:val="TableNoRule5_64dc0b50-033d-4d4f-ba41-d0556451fd12"/>
    <w:uiPriority w:val="99"/>
    <w:pPr>
      <w:pBdr/>
      <w:spacing/>
    </w:pPr>
    <w:rPr/>
    <w:tblPr>
      <w:tblInd w:w="2390" w:type="dxa"/>
      <w:tblBorders/>
      <w:tblCellMar/>
    </w:tblPr>
    <w:trPr/>
    <w:tcPr>
      <w:tcBorders/>
      <w:shd w:val="clear" w:color="auto" w:fill="auto"/>
      <w:tcMar/>
      <w:vAlign w:val="top"/>
    </w:tcPr>
  </w:style>
  <w:style w:type="table" w:styleId="TableNoRule7_eca71d69-c17e-46e0-a396-d81cd0a42b9d" w:customStyle="1">
    <w:name w:val="Table NoRule 7_eca71d69-c17e-46e0-a396-d81cd0a42b9d"/>
    <w:basedOn w:val="TableNoRule6_78cb9c3d-04dd-4ab5-94e5-d8b785f733de"/>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eca71d69-c17e-46e0-a396-d81cd0a42b9d"/>
    <w:uiPriority w:val="99"/>
    <w:pPr>
      <w:pBdr/>
      <w:spacing/>
    </w:pPr>
    <w:rPr/>
    <w:tblPr>
      <w:tblInd w:w="3355" w:type="dxa"/>
      <w:tblBorders/>
      <w:tblCellMar/>
    </w:tblPr>
    <w:trPr/>
    <w:tcPr>
      <w:tcBorders/>
      <w:shd w:val="clear" w:color="auto" w:fill="auto"/>
      <w:tcMar/>
      <w:vAlign w:val="top"/>
    </w:tcPr>
  </w:style>
  <w:style w:type="table" w:styleId="NormalTable_7783d266-fab9-4b79-81dc-2290431f3806" w:customStyle="1">
    <w:name w:val="Normal Table_7783d266-fab9-4b79-81dc-2290431f380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2cb0927b-ba1c-4fd9-9371-bed5e96a2aac" w:customStyle="1">
    <w:name w:val="Table NoRule 1_2cb0927b-ba1c-4fd9-9371-bed5e96a2aac"/>
    <w:basedOn w:val="NormalTable_7783d266-fab9-4b79-81dc-2290431f3806"/>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4478f035-41f6-45a0-bde7-c98ce6ea538b" w:customStyle="1">
    <w:name w:val="Table NoRule 2_4478f035-41f6-45a0-bde7-c98ce6ea538b"/>
    <w:basedOn w:val="TableNoRule1_2cb0927b-ba1c-4fd9-9371-bed5e96a2aac"/>
    <w:uiPriority w:val="99"/>
    <w:pPr>
      <w:pBdr/>
      <w:spacing/>
    </w:pPr>
    <w:rPr/>
    <w:tblPr>
      <w:tblInd w:w="475" w:type="dxa"/>
      <w:tblBorders/>
      <w:tblCellMar/>
    </w:tblPr>
    <w:trPr/>
    <w:tcPr>
      <w:tcBorders/>
      <w:shd w:val="clear" w:color="auto" w:fill="auto"/>
      <w:tcMar/>
      <w:vAlign w:val="top"/>
    </w:tcPr>
  </w:style>
  <w:style w:type="table" w:styleId="TableNoRule3_a39027e7-cae0-4e24-95b3-9e2ce175ef56" w:customStyle="1">
    <w:name w:val="Table NoRule 3_a39027e7-cae0-4e24-95b3-9e2ce175ef56"/>
    <w:basedOn w:val="TableNoRule2_4478f035-41f6-45a0-bde7-c98ce6ea538b"/>
    <w:uiPriority w:val="99"/>
    <w:pPr>
      <w:pBdr/>
      <w:spacing/>
    </w:pPr>
    <w:rPr/>
    <w:tblPr>
      <w:tblInd w:w="950" w:type="dxa"/>
      <w:tblBorders/>
      <w:tblCellMar/>
    </w:tblPr>
    <w:trPr/>
    <w:tcPr>
      <w:tcBorders/>
      <w:shd w:val="clear" w:color="auto" w:fill="auto"/>
      <w:tcMar/>
      <w:vAlign w:val="top"/>
    </w:tcPr>
  </w:style>
  <w:style w:type="table" w:styleId="TableNoRule4_7ebb5e46-e414-4310-877a-9b22558bd54d" w:customStyle="1">
    <w:name w:val="Table NoRule 4_7ebb5e46-e414-4310-877a-9b22558bd54d"/>
    <w:basedOn w:val="TableNoRule3_a39027e7-cae0-4e24-95b3-9e2ce175ef56"/>
    <w:uiPriority w:val="99"/>
    <w:pPr>
      <w:pBdr/>
      <w:spacing/>
    </w:pPr>
    <w:rPr/>
    <w:tblPr>
      <w:tblInd w:w="1440" w:type="dxa"/>
      <w:tblBorders/>
      <w:tblCellMar/>
    </w:tblPr>
    <w:trPr/>
    <w:tcPr>
      <w:tcBorders/>
      <w:shd w:val="clear" w:color="auto" w:fill="auto"/>
      <w:tcMar/>
      <w:vAlign w:val="top"/>
    </w:tcPr>
  </w:style>
  <w:style w:type="table" w:styleId="TableNoRule5_2be7cc69-5b6e-4136-9f56-ce4bf193b1f2" w:customStyle="1">
    <w:name w:val="Table NoRule 5_2be7cc69-5b6e-4136-9f56-ce4bf193b1f2"/>
    <w:basedOn w:val="TableNoRule4_7ebb5e46-e414-4310-877a-9b22558bd54d"/>
    <w:uiPriority w:val="99"/>
    <w:pPr>
      <w:pBdr/>
      <w:spacing/>
    </w:pPr>
    <w:rPr/>
    <w:tblPr>
      <w:tblInd w:w="1915" w:type="dxa"/>
      <w:tblBorders/>
      <w:tblCellMar/>
    </w:tblPr>
    <w:trPr/>
    <w:tcPr>
      <w:tcBorders/>
      <w:shd w:val="clear" w:color="auto" w:fill="auto"/>
      <w:tcMar/>
      <w:vAlign w:val="top"/>
    </w:tcPr>
  </w:style>
  <w:style w:type="table" w:styleId="TableNoRule6_d7fbbd5a-2e91-4fb7-b55a-156924c586af" w:customStyle="1">
    <w:name w:val="Table NoRule 6_d7fbbd5a-2e91-4fb7-b55a-156924c586af"/>
    <w:basedOn w:val="TableNoRule5_2be7cc69-5b6e-4136-9f56-ce4bf193b1f2"/>
    <w:uiPriority w:val="99"/>
    <w:pPr>
      <w:pBdr/>
      <w:spacing/>
    </w:pPr>
    <w:rPr/>
    <w:tblPr>
      <w:tblInd w:w="2390" w:type="dxa"/>
      <w:tblBorders/>
      <w:tblCellMar/>
    </w:tblPr>
    <w:trPr/>
    <w:tcPr>
      <w:tcBorders/>
      <w:shd w:val="clear" w:color="auto" w:fill="auto"/>
      <w:tcMar/>
      <w:vAlign w:val="top"/>
    </w:tcPr>
  </w:style>
  <w:style w:type="table" w:styleId="TableNoRule7_464d7555-59b9-47fb-bbdd-ff802ea0cebd" w:customStyle="1">
    <w:name w:val="Table NoRule 7_464d7555-59b9-47fb-bbdd-ff802ea0cebd"/>
    <w:basedOn w:val="TableNoRule6_d7fbbd5a-2e91-4fb7-b55a-156924c586af"/>
    <w:uiPriority w:val="99"/>
    <w:pPr>
      <w:pBdr/>
      <w:spacing/>
    </w:pPr>
    <w:rPr/>
    <w:tblPr>
      <w:tblInd w:w="2880" w:type="dxa"/>
      <w:tblBorders/>
      <w:tblCellMar/>
    </w:tblPr>
    <w:trPr/>
    <w:tcPr>
      <w:tcBorders/>
      <w:shd w:val="clear" w:color="auto" w:fill="auto"/>
      <w:tcMar/>
      <w:vAlign w:val="top"/>
    </w:tcPr>
  </w:style>
  <w:style w:type="table" w:styleId="TableNoRule8_c88de9aa-54d9-4715-b9cc-91c83df9a714" w:customStyle="1">
    <w:name w:val="Table NoRule 8_c88de9aa-54d9-4715-b9cc-91c83df9a714"/>
    <w:basedOn w:val="TableNoRule7_464d7555-59b9-47fb-bbdd-ff802ea0cebd"/>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c88de9aa-54d9-4715-b9cc-91c83df9a714"/>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17" Type="http://schemas.openxmlformats.org/officeDocument/2006/relationships/styles" Target="styles.xml" /><Relationship Id="rId18" Type="http://schemas.openxmlformats.org/officeDocument/2006/relationships/settings" Target="settings.xml" /><Relationship Id="rId19" Type="http://schemas.openxmlformats.org/officeDocument/2006/relationships/theme" Target="theme/theme1.xml" /><Relationship Id="rId20" Type="http://schemas.openxmlformats.org/officeDocument/2006/relationships/numbering" Target="numbering.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2026-03-05T21:11:18Z</dcterms:created>
  <dcterms:modified xsi:type="dcterms:W3CDTF">2026-03-05T21:11:18Z</dcterms:modified>
</cp:coreProperties>
</file>